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D55C" w14:textId="77777777" w:rsidR="008C1F4F" w:rsidRDefault="008C1F4F" w:rsidP="008C1F4F">
      <w:pPr>
        <w:jc w:val="both"/>
        <w:rPr>
          <w:rFonts w:asciiTheme="majorHAnsi" w:hAnsiTheme="majorHAnsi"/>
          <w:sz w:val="22"/>
          <w:szCs w:val="22"/>
        </w:rPr>
      </w:pPr>
    </w:p>
    <w:p w14:paraId="103874B1" w14:textId="77777777" w:rsidR="00D24D34" w:rsidRPr="00EC3ACF" w:rsidRDefault="00D24D34" w:rsidP="008C1F4F">
      <w:pPr>
        <w:jc w:val="both"/>
        <w:rPr>
          <w:rFonts w:asciiTheme="majorHAnsi" w:hAnsiTheme="majorHAnsi"/>
          <w:sz w:val="22"/>
          <w:szCs w:val="22"/>
        </w:rPr>
      </w:pPr>
    </w:p>
    <w:p w14:paraId="56DA035C" w14:textId="315F8C90" w:rsidR="008C1F4F" w:rsidRPr="00A566AA" w:rsidRDefault="008C1F4F" w:rsidP="008C1F4F">
      <w:pPr>
        <w:jc w:val="both"/>
      </w:pPr>
      <w:r w:rsidRPr="00A566AA">
        <w:t xml:space="preserve">L’Institut </w:t>
      </w:r>
      <w:r w:rsidR="00D24D34">
        <w:t xml:space="preserve">de l’Engagement </w:t>
      </w:r>
      <w:r w:rsidRPr="00A566AA">
        <w:t xml:space="preserve">repère des jeunes qui ont fait la preuve de leur potentiel pendant une période d’engagement au service de l’intérêt général. Il </w:t>
      </w:r>
      <w:r w:rsidR="00951BD4" w:rsidRPr="00A566AA">
        <w:t xml:space="preserve">leur permet de mener à bien un projet à la hauteur de leur potentiel, quel que soit leur parcours scolaire, quel que soit leur bagage social et culturel. </w:t>
      </w:r>
    </w:p>
    <w:p w14:paraId="04BFD191" w14:textId="77777777" w:rsidR="008319C6" w:rsidRPr="00A566AA" w:rsidRDefault="008319C6" w:rsidP="008C1F4F">
      <w:pPr>
        <w:jc w:val="both"/>
      </w:pPr>
    </w:p>
    <w:p w14:paraId="4DD765CA" w14:textId="77777777" w:rsidR="008C1F4F" w:rsidRDefault="008718E3" w:rsidP="00FF612D">
      <w:pPr>
        <w:pStyle w:val="Titre3"/>
        <w:rPr>
          <w:rFonts w:asciiTheme="minorHAnsi" w:hAnsiTheme="minorHAnsi"/>
          <w:b/>
        </w:rPr>
      </w:pPr>
      <w:r w:rsidRPr="00A566AA">
        <w:rPr>
          <w:rFonts w:asciiTheme="minorHAnsi" w:hAnsiTheme="minorHAnsi"/>
          <w:b/>
        </w:rPr>
        <w:t xml:space="preserve">Grâce à la taxe d’apprentissage, </w:t>
      </w:r>
    </w:p>
    <w:p w14:paraId="5B68E679" w14:textId="77777777" w:rsidR="00DA42FB" w:rsidRPr="00DA42FB" w:rsidRDefault="00DA42FB" w:rsidP="00DA42FB"/>
    <w:p w14:paraId="625EA5F8" w14:textId="77777777" w:rsidR="008C1F4F" w:rsidRPr="00900329" w:rsidRDefault="00DC3CF4" w:rsidP="00FF612D">
      <w:pPr>
        <w:jc w:val="both"/>
        <w:rPr>
          <w:rFonts w:eastAsiaTheme="majorEastAsia" w:cstheme="majorBidi"/>
          <w:b/>
          <w:color w:val="1F4D78" w:themeColor="accent1" w:themeShade="7F"/>
        </w:rPr>
      </w:pPr>
      <w:r w:rsidRPr="00900329">
        <w:rPr>
          <w:rFonts w:eastAsiaTheme="majorEastAsia" w:cstheme="majorBidi"/>
          <w:b/>
          <w:color w:val="1F4D78" w:themeColor="accent1" w:themeShade="7F"/>
        </w:rPr>
        <w:t>L</w:t>
      </w:r>
      <w:r w:rsidR="00FF612D" w:rsidRPr="00900329">
        <w:rPr>
          <w:rFonts w:eastAsiaTheme="majorEastAsia" w:cstheme="majorBidi"/>
          <w:b/>
          <w:color w:val="1F4D78" w:themeColor="accent1" w:themeShade="7F"/>
        </w:rPr>
        <w:t xml:space="preserve">’Institut de l’Engagement </w:t>
      </w:r>
      <w:r w:rsidR="00951BD4" w:rsidRPr="00900329">
        <w:rPr>
          <w:rFonts w:eastAsiaTheme="majorEastAsia" w:cstheme="majorBidi"/>
          <w:b/>
          <w:color w:val="1F4D78" w:themeColor="accent1" w:themeShade="7F"/>
        </w:rPr>
        <w:t>organise</w:t>
      </w:r>
      <w:r w:rsidR="008C1F4F" w:rsidRPr="00900329">
        <w:rPr>
          <w:rFonts w:eastAsiaTheme="majorEastAsia" w:cstheme="majorBidi"/>
          <w:b/>
          <w:color w:val="1F4D78" w:themeColor="accent1" w:themeShade="7F"/>
        </w:rPr>
        <w:t xml:space="preserve"> une « procédure d’admission »</w:t>
      </w:r>
      <w:r w:rsidR="00850FAE" w:rsidRPr="00900329">
        <w:rPr>
          <w:rFonts w:eastAsiaTheme="majorEastAsia" w:cstheme="majorBidi"/>
          <w:b/>
          <w:color w:val="1F4D78" w:themeColor="accent1" w:themeShade="7F"/>
        </w:rPr>
        <w:t xml:space="preserve"> originale, qui permet à chaque candidat</w:t>
      </w:r>
      <w:r w:rsidR="00FF612D" w:rsidRPr="00A566AA">
        <w:rPr>
          <w:color w:val="000000" w:themeColor="text1"/>
        </w:rPr>
        <w:t xml:space="preserve"> de faire le point sur </w:t>
      </w:r>
      <w:r w:rsidR="00850FAE" w:rsidRPr="00A566AA">
        <w:rPr>
          <w:color w:val="000000" w:themeColor="text1"/>
        </w:rPr>
        <w:t>son</w:t>
      </w:r>
      <w:r w:rsidR="00FF612D" w:rsidRPr="00A566AA">
        <w:rPr>
          <w:color w:val="000000" w:themeColor="text1"/>
        </w:rPr>
        <w:t xml:space="preserve"> parcours, sur </w:t>
      </w:r>
      <w:r w:rsidR="00850FAE" w:rsidRPr="00A566AA">
        <w:rPr>
          <w:color w:val="000000" w:themeColor="text1"/>
        </w:rPr>
        <w:t>son</w:t>
      </w:r>
      <w:r w:rsidR="00FF612D" w:rsidRPr="00A566AA">
        <w:rPr>
          <w:color w:val="000000" w:themeColor="text1"/>
        </w:rPr>
        <w:t xml:space="preserve"> évolution et sur </w:t>
      </w:r>
      <w:r w:rsidR="00850FAE" w:rsidRPr="00A566AA">
        <w:rPr>
          <w:color w:val="000000" w:themeColor="text1"/>
        </w:rPr>
        <w:t>son</w:t>
      </w:r>
      <w:r w:rsidR="00FF612D" w:rsidRPr="00A566AA">
        <w:rPr>
          <w:color w:val="000000" w:themeColor="text1"/>
        </w:rPr>
        <w:t xml:space="preserve"> projet et de bénéficier des conseils personnalisés et des regards croisés de professionnels issus d’entreprises, d’établissements d’enseignement, d’associations et fondations, de collectivités.</w:t>
      </w:r>
      <w:r w:rsidR="00850FAE" w:rsidRPr="00A566AA">
        <w:rPr>
          <w:color w:val="000000" w:themeColor="text1"/>
        </w:rPr>
        <w:t xml:space="preserve"> </w:t>
      </w:r>
      <w:r w:rsidR="00850FAE" w:rsidRPr="00900329">
        <w:rPr>
          <w:rFonts w:eastAsiaTheme="majorEastAsia" w:cstheme="majorBidi"/>
          <w:b/>
          <w:color w:val="1F4D78" w:themeColor="accent1" w:themeShade="7F"/>
        </w:rPr>
        <w:t xml:space="preserve">En 2015, plus de 1300 jeunes en ont bénéficié. </w:t>
      </w:r>
    </w:p>
    <w:p w14:paraId="6411F827" w14:textId="77777777" w:rsidR="00850FAE" w:rsidRPr="00A566AA" w:rsidRDefault="00850FAE" w:rsidP="00FF612D">
      <w:pPr>
        <w:jc w:val="both"/>
      </w:pPr>
    </w:p>
    <w:p w14:paraId="1B178581" w14:textId="77777777" w:rsidR="005F0AF2" w:rsidRDefault="001D58F2" w:rsidP="001D58F2">
      <w:pPr>
        <w:jc w:val="both"/>
      </w:pPr>
      <w:r w:rsidRPr="00A566AA">
        <w:t xml:space="preserve">L’Institut de l’Engagement travaille avec chacun de ses lauréats sur son projet d’avenir (orientation, bilan de compétences) puis l’accompagne dans sa réalisation. </w:t>
      </w:r>
    </w:p>
    <w:p w14:paraId="2069E0F0" w14:textId="706956F0" w:rsidR="008C1F4F" w:rsidRPr="00A566AA" w:rsidRDefault="001D58F2" w:rsidP="001D58F2">
      <w:pPr>
        <w:jc w:val="both"/>
        <w:rPr>
          <w:rFonts w:eastAsiaTheme="majorEastAsia" w:cstheme="majorBidi"/>
          <w:color w:val="1F4D78" w:themeColor="accent1" w:themeShade="7F"/>
        </w:rPr>
      </w:pPr>
      <w:r w:rsidRPr="00900329">
        <w:rPr>
          <w:rFonts w:eastAsiaTheme="majorEastAsia" w:cstheme="majorBidi"/>
          <w:b/>
          <w:color w:val="1F4D78" w:themeColor="accent1" w:themeShade="7F"/>
        </w:rPr>
        <w:t>En 2015, 410 jeunes ont été orientés et accompagnés.</w:t>
      </w:r>
      <w:r w:rsidRPr="00A566AA">
        <w:rPr>
          <w:rFonts w:eastAsiaTheme="majorEastAsia" w:cstheme="majorBidi"/>
          <w:color w:val="1F4D78" w:themeColor="accent1" w:themeShade="7F"/>
        </w:rPr>
        <w:t xml:space="preserve"> </w:t>
      </w:r>
    </w:p>
    <w:p w14:paraId="18E718D4" w14:textId="77777777" w:rsidR="00DC3CF4" w:rsidRPr="00A566AA" w:rsidRDefault="00DC3CF4" w:rsidP="001D58F2">
      <w:pPr>
        <w:jc w:val="both"/>
        <w:rPr>
          <w:rFonts w:eastAsiaTheme="majorEastAsia" w:cstheme="majorBidi"/>
          <w:color w:val="1F4D78" w:themeColor="accent1" w:themeShade="7F"/>
        </w:rPr>
      </w:pPr>
    </w:p>
    <w:p w14:paraId="21ED271F" w14:textId="2F4D0717" w:rsidR="00D24D34" w:rsidRDefault="00DC3CF4" w:rsidP="00DC3CF4">
      <w:pPr>
        <w:jc w:val="both"/>
        <w:rPr>
          <w:rFonts w:eastAsiaTheme="majorEastAsia" w:cstheme="majorBidi"/>
          <w:color w:val="1F4D78" w:themeColor="accent1" w:themeShade="7F"/>
        </w:rPr>
      </w:pPr>
      <w:r w:rsidRPr="00A566AA">
        <w:t xml:space="preserve">L’Institut de l’Engagement </w:t>
      </w:r>
      <w:r w:rsidR="008C1F4F" w:rsidRPr="00A566AA">
        <w:t>fait bénéficier ses lauréats de forums et ateliers qui leur donnent des clés pour mener à bien leur projet</w:t>
      </w:r>
      <w:r w:rsidRPr="00A566AA">
        <w:t xml:space="preserve">. </w:t>
      </w:r>
      <w:r w:rsidRPr="00D24D34">
        <w:rPr>
          <w:rFonts w:eastAsiaTheme="majorEastAsia" w:cstheme="majorBidi"/>
          <w:color w:val="000000" w:themeColor="text1"/>
        </w:rPr>
        <w:t xml:space="preserve">En 2015, l’Institut a organisé un forum métiers, un forum orientation et formation, des « défis créa » </w:t>
      </w:r>
      <w:r w:rsidR="00D24D34">
        <w:rPr>
          <w:rFonts w:eastAsiaTheme="majorEastAsia" w:cstheme="majorBidi"/>
          <w:color w:val="000000" w:themeColor="text1"/>
        </w:rPr>
        <w:t xml:space="preserve">et un forum </w:t>
      </w:r>
      <w:r w:rsidRPr="00D24D34">
        <w:rPr>
          <w:rFonts w:eastAsiaTheme="majorEastAsia" w:cstheme="majorBidi"/>
          <w:color w:val="000000" w:themeColor="text1"/>
        </w:rPr>
        <w:t>pour les créateurs d’activit</w:t>
      </w:r>
      <w:r w:rsidR="00D24D34">
        <w:rPr>
          <w:rFonts w:eastAsiaTheme="majorEastAsia" w:cstheme="majorBidi"/>
          <w:color w:val="000000" w:themeColor="text1"/>
        </w:rPr>
        <w:t>é.</w:t>
      </w:r>
    </w:p>
    <w:p w14:paraId="74B034FC" w14:textId="52ABC9F9" w:rsidR="008C1F4F" w:rsidRPr="00900329" w:rsidRDefault="00DC3CF4" w:rsidP="00DC3CF4">
      <w:pPr>
        <w:jc w:val="both"/>
        <w:rPr>
          <w:rFonts w:eastAsiaTheme="majorEastAsia" w:cstheme="majorBidi"/>
          <w:b/>
          <w:color w:val="1F4D78" w:themeColor="accent1" w:themeShade="7F"/>
        </w:rPr>
      </w:pPr>
      <w:r w:rsidRPr="00900329">
        <w:rPr>
          <w:rFonts w:eastAsiaTheme="majorEastAsia" w:cstheme="majorBidi"/>
          <w:b/>
          <w:color w:val="1F4D78" w:themeColor="accent1" w:themeShade="7F"/>
        </w:rPr>
        <w:t xml:space="preserve">Il a organisé plus de 200 ateliers à l’attention des lauréats. </w:t>
      </w:r>
    </w:p>
    <w:p w14:paraId="26ED9BB0" w14:textId="77777777" w:rsidR="00DC3CF4" w:rsidRPr="00A566AA" w:rsidRDefault="00DC3CF4" w:rsidP="00DC3CF4">
      <w:pPr>
        <w:jc w:val="both"/>
        <w:rPr>
          <w:rFonts w:eastAsiaTheme="majorEastAsia" w:cstheme="majorBidi"/>
          <w:color w:val="1F4D78" w:themeColor="accent1" w:themeShade="7F"/>
        </w:rPr>
      </w:pPr>
    </w:p>
    <w:p w14:paraId="047A7766" w14:textId="77777777" w:rsidR="00DC3CF4" w:rsidRPr="005F0AF2" w:rsidRDefault="00DC3CF4" w:rsidP="00DC3CF4">
      <w:pPr>
        <w:jc w:val="both"/>
        <w:rPr>
          <w:rFonts w:eastAsiaTheme="majorEastAsia" w:cstheme="majorBidi"/>
          <w:color w:val="000000" w:themeColor="text1"/>
        </w:rPr>
      </w:pPr>
      <w:r w:rsidRPr="005F0AF2">
        <w:rPr>
          <w:rFonts w:eastAsiaTheme="majorEastAsia" w:cstheme="majorBidi"/>
          <w:color w:val="000000" w:themeColor="text1"/>
        </w:rPr>
        <w:t xml:space="preserve">L’Institut de l’Engagement organise à l’attention de ses lauréats des conférences qui leur permettent de débattre sur les grands enjeux du monde contemporain avec des intervenants d’exception. </w:t>
      </w:r>
    </w:p>
    <w:p w14:paraId="694329F7" w14:textId="77777777" w:rsidR="00A731AD" w:rsidRPr="00A566AA" w:rsidRDefault="00A731AD" w:rsidP="00DC3CF4">
      <w:pPr>
        <w:jc w:val="both"/>
        <w:rPr>
          <w:rFonts w:eastAsiaTheme="majorEastAsia" w:cstheme="majorBidi"/>
          <w:color w:val="000000" w:themeColor="text1"/>
        </w:rPr>
      </w:pPr>
      <w:r w:rsidRPr="00405E41">
        <w:rPr>
          <w:rFonts w:eastAsiaTheme="majorEastAsia" w:cstheme="majorBidi"/>
          <w:b/>
          <w:color w:val="1F4E79" w:themeColor="accent1" w:themeShade="80"/>
        </w:rPr>
        <w:t>Chaque promotion bénéficie de 4 séminaires par an</w:t>
      </w:r>
      <w:r w:rsidRPr="00A566AA">
        <w:rPr>
          <w:rFonts w:eastAsiaTheme="majorEastAsia" w:cstheme="majorBidi"/>
          <w:color w:val="000000" w:themeColor="text1"/>
        </w:rPr>
        <w:t>, à l’occasion desquels sont organisées des conférences destinées à apporter aux lauréats les clés qui leur permettront de mieux comprendre le monde qui les entoure et qui répondent à leur envie d’agir.</w:t>
      </w:r>
    </w:p>
    <w:p w14:paraId="50ADE57C" w14:textId="77777777" w:rsidR="00DC3CF4" w:rsidRPr="00405E41" w:rsidRDefault="00A731AD" w:rsidP="00DC3CF4">
      <w:pPr>
        <w:jc w:val="both"/>
        <w:rPr>
          <w:rFonts w:eastAsiaTheme="majorEastAsia" w:cstheme="majorBidi"/>
          <w:b/>
          <w:color w:val="1F4E79" w:themeColor="accent1" w:themeShade="80"/>
        </w:rPr>
      </w:pPr>
      <w:r w:rsidRPr="00405E41">
        <w:rPr>
          <w:rFonts w:eastAsiaTheme="majorEastAsia" w:cstheme="majorBidi"/>
          <w:b/>
          <w:color w:val="1F4E79" w:themeColor="accent1" w:themeShade="80"/>
        </w:rPr>
        <w:t>L</w:t>
      </w:r>
      <w:r w:rsidR="00DC3CF4" w:rsidRPr="00405E41">
        <w:rPr>
          <w:rFonts w:eastAsiaTheme="majorEastAsia" w:cstheme="majorBidi"/>
          <w:b/>
          <w:color w:val="1F4E79" w:themeColor="accent1" w:themeShade="80"/>
        </w:rPr>
        <w:t>es lauréats de la promotion 2014 ont bénéficié de conférences axées sur le changement climatique (</w:t>
      </w:r>
      <w:r w:rsidRPr="00405E41">
        <w:rPr>
          <w:rFonts w:eastAsiaTheme="majorEastAsia" w:cstheme="majorBidi"/>
          <w:b/>
          <w:color w:val="1F4E79" w:themeColor="accent1" w:themeShade="80"/>
        </w:rPr>
        <w:t>ses causes, ses conséquences, comment agir).</w:t>
      </w:r>
    </w:p>
    <w:p w14:paraId="3A49B072" w14:textId="77777777" w:rsidR="008C1F4F" w:rsidRPr="00A566AA" w:rsidRDefault="00A731AD" w:rsidP="008C1F4F">
      <w:pPr>
        <w:jc w:val="both"/>
      </w:pPr>
      <w:r w:rsidRPr="00405E41">
        <w:rPr>
          <w:rFonts w:eastAsiaTheme="majorEastAsia" w:cstheme="majorBidi"/>
          <w:b/>
          <w:color w:val="1F4E79" w:themeColor="accent1" w:themeShade="80"/>
        </w:rPr>
        <w:t>Les lauréats de la promotion 2015 ont bénéficié de conférences axées sur le populisme.</w:t>
      </w:r>
      <w:r w:rsidR="00A566AA" w:rsidRPr="00405E41">
        <w:rPr>
          <w:b/>
          <w:color w:val="1F4E79" w:themeColor="accent1" w:themeShade="80"/>
        </w:rPr>
        <w:t xml:space="preserve"> </w:t>
      </w:r>
    </w:p>
    <w:p w14:paraId="3802DC8E" w14:textId="77777777" w:rsidR="00956EF1" w:rsidRDefault="00956EF1" w:rsidP="007179BE">
      <w:pPr>
        <w:jc w:val="both"/>
        <w:rPr>
          <w:sz w:val="22"/>
          <w:szCs w:val="22"/>
        </w:rPr>
      </w:pPr>
      <w:bookmarkStart w:id="0" w:name="_GoBack"/>
      <w:bookmarkEnd w:id="0"/>
    </w:p>
    <w:p w14:paraId="60D416F0" w14:textId="77777777" w:rsidR="00DA42FB" w:rsidRDefault="00DA42FB" w:rsidP="007179BE">
      <w:pPr>
        <w:jc w:val="both"/>
        <w:rPr>
          <w:sz w:val="22"/>
          <w:szCs w:val="22"/>
        </w:rPr>
      </w:pPr>
    </w:p>
    <w:p w14:paraId="447E1892" w14:textId="2338AB8E" w:rsidR="00DA42FB" w:rsidRPr="005F0AF2" w:rsidRDefault="00DA42FB" w:rsidP="005F0AF2">
      <w:pPr>
        <w:pStyle w:val="Titre3"/>
        <w:rPr>
          <w:rFonts w:asciiTheme="minorHAnsi" w:hAnsiTheme="minorHAnsi"/>
          <w:b/>
        </w:rPr>
      </w:pPr>
      <w:r w:rsidRPr="00A566AA">
        <w:rPr>
          <w:rFonts w:asciiTheme="minorHAnsi" w:hAnsiTheme="minorHAnsi"/>
          <w:b/>
        </w:rPr>
        <w:t>Résultats pour la promotion 2014 </w:t>
      </w:r>
    </w:p>
    <w:p w14:paraId="3481707B" w14:textId="77777777" w:rsidR="00DA42FB" w:rsidRPr="00900329" w:rsidRDefault="00DA42FB" w:rsidP="00DA42FB">
      <w:pPr>
        <w:pStyle w:val="Titre3"/>
        <w:rPr>
          <w:rFonts w:asciiTheme="minorHAnsi" w:hAnsiTheme="minorHAnsi"/>
          <w:b/>
        </w:rPr>
      </w:pPr>
      <w:r w:rsidRPr="00900329">
        <w:rPr>
          <w:rFonts w:asciiTheme="minorHAnsi" w:hAnsiTheme="minorHAnsi"/>
          <w:b/>
        </w:rPr>
        <w:t>Une année après leur entrée à l’Institut :</w:t>
      </w:r>
    </w:p>
    <w:p w14:paraId="64C4F78C" w14:textId="77777777" w:rsidR="00DA42FB" w:rsidRPr="00DA42FB" w:rsidRDefault="00DA42FB" w:rsidP="00DA42FB"/>
    <w:p w14:paraId="7359A008" w14:textId="041CEF53" w:rsidR="00DA42FB" w:rsidRPr="00900329" w:rsidRDefault="00DA42FB" w:rsidP="00DA42FB">
      <w:pPr>
        <w:rPr>
          <w:b/>
        </w:rPr>
      </w:pPr>
      <w:r w:rsidRPr="00900329">
        <w:rPr>
          <w:b/>
        </w:rPr>
        <w:t>92% des lauréats en formation ont validé leur année d’étude</w:t>
      </w:r>
      <w:r w:rsidR="005F0AF2" w:rsidRPr="00900329">
        <w:rPr>
          <w:b/>
        </w:rPr>
        <w:t>s ;</w:t>
      </w:r>
    </w:p>
    <w:p w14:paraId="505D3B81" w14:textId="77777777" w:rsidR="00DA42FB" w:rsidRPr="00900329" w:rsidRDefault="00DA42FB" w:rsidP="00DA42FB">
      <w:pPr>
        <w:rPr>
          <w:b/>
        </w:rPr>
      </w:pPr>
    </w:p>
    <w:p w14:paraId="23C0B395" w14:textId="13BAD1A9" w:rsidR="00DA42FB" w:rsidRPr="00900329" w:rsidRDefault="00DA42FB" w:rsidP="00DA42FB">
      <w:pPr>
        <w:rPr>
          <w:b/>
        </w:rPr>
      </w:pPr>
      <w:r w:rsidRPr="00900329">
        <w:rPr>
          <w:b/>
        </w:rPr>
        <w:t>91% des lauréats en recherche d’emploi ont trouvé un CDD de plus de 6 mois ou un CDI</w:t>
      </w:r>
      <w:r w:rsidR="005F0AF2" w:rsidRPr="00900329">
        <w:rPr>
          <w:b/>
        </w:rPr>
        <w:t> ;</w:t>
      </w:r>
    </w:p>
    <w:p w14:paraId="32B62E4D" w14:textId="77777777" w:rsidR="00DA42FB" w:rsidRPr="00900329" w:rsidRDefault="00DA42FB" w:rsidP="00DA42FB">
      <w:pPr>
        <w:rPr>
          <w:b/>
        </w:rPr>
      </w:pPr>
    </w:p>
    <w:p w14:paraId="121B0B47" w14:textId="77777777" w:rsidR="00DA42FB" w:rsidRPr="00900329" w:rsidRDefault="00DA42FB" w:rsidP="00DA42FB">
      <w:pPr>
        <w:rPr>
          <w:b/>
        </w:rPr>
      </w:pPr>
      <w:r w:rsidRPr="00900329">
        <w:rPr>
          <w:b/>
        </w:rPr>
        <w:t xml:space="preserve">89% des projets de création d’activité des lauréats ont progressé de façon mesurable. </w:t>
      </w:r>
    </w:p>
    <w:p w14:paraId="328C6B53" w14:textId="77777777" w:rsidR="00A566AA" w:rsidRPr="00900329" w:rsidRDefault="00A566AA" w:rsidP="007179BE">
      <w:pPr>
        <w:jc w:val="both"/>
        <w:rPr>
          <w:b/>
          <w:sz w:val="22"/>
          <w:szCs w:val="22"/>
        </w:rPr>
      </w:pPr>
    </w:p>
    <w:sectPr w:rsidR="00A566AA" w:rsidRPr="00900329" w:rsidSect="00956EF1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C44FD" w14:textId="77777777" w:rsidR="00C74A52" w:rsidRDefault="00C74A52" w:rsidP="00956EF1">
      <w:r>
        <w:separator/>
      </w:r>
    </w:p>
  </w:endnote>
  <w:endnote w:type="continuationSeparator" w:id="0">
    <w:p w14:paraId="5942DFFC" w14:textId="77777777" w:rsidR="00C74A52" w:rsidRDefault="00C74A52" w:rsidP="0095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EEA" w14:textId="77777777" w:rsidR="005B6437" w:rsidRPr="005B6437" w:rsidRDefault="005B6437" w:rsidP="005F0AF2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06451" w14:textId="77777777" w:rsidR="00C74A52" w:rsidRDefault="00C74A52" w:rsidP="00956EF1">
      <w:r>
        <w:separator/>
      </w:r>
    </w:p>
  </w:footnote>
  <w:footnote w:type="continuationSeparator" w:id="0">
    <w:p w14:paraId="070F5CF6" w14:textId="77777777" w:rsidR="00C74A52" w:rsidRDefault="00C74A52" w:rsidP="00956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727"/>
      <w:gridCol w:w="6335"/>
    </w:tblGrid>
    <w:tr w:rsidR="00956EF1" w14:paraId="732247F3" w14:textId="77777777" w:rsidTr="00956EF1">
      <w:tc>
        <w:tcPr>
          <w:tcW w:w="2727" w:type="dxa"/>
          <w:tcBorders>
            <w:top w:val="nil"/>
            <w:left w:val="nil"/>
            <w:bottom w:val="nil"/>
          </w:tcBorders>
        </w:tcPr>
        <w:p w14:paraId="70C68FB2" w14:textId="77777777" w:rsidR="00956EF1" w:rsidRDefault="00956EF1">
          <w:pPr>
            <w:pStyle w:val="En-tte"/>
          </w:pPr>
          <w:r w:rsidRPr="00956EF1">
            <w:rPr>
              <w:noProof/>
            </w:rPr>
            <w:drawing>
              <wp:inline distT="0" distB="0" distL="0" distR="0" wp14:anchorId="6A7F791A" wp14:editId="3755CD76">
                <wp:extent cx="1135168" cy="502923"/>
                <wp:effectExtent l="0" t="0" r="8255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033" cy="513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5" w:type="dxa"/>
        </w:tcPr>
        <w:p w14:paraId="0C8385B8" w14:textId="77777777" w:rsidR="008C1F4F" w:rsidRDefault="008C1F4F" w:rsidP="00956EF1">
          <w:pPr>
            <w:pStyle w:val="En-tte"/>
            <w:jc w:val="center"/>
            <w:rPr>
              <w:b/>
              <w:color w:val="323E4F" w:themeColor="text2" w:themeShade="BF"/>
            </w:rPr>
          </w:pPr>
          <w:r>
            <w:rPr>
              <w:b/>
              <w:color w:val="323E4F" w:themeColor="text2" w:themeShade="BF"/>
            </w:rPr>
            <w:t>Les actions menées par l’Institut de l’Engagement</w:t>
          </w:r>
        </w:p>
        <w:p w14:paraId="2CADA69B" w14:textId="77777777" w:rsidR="008C1F4F" w:rsidRDefault="008C1F4F" w:rsidP="00956EF1">
          <w:pPr>
            <w:pStyle w:val="En-tte"/>
            <w:jc w:val="center"/>
            <w:rPr>
              <w:b/>
              <w:color w:val="323E4F" w:themeColor="text2" w:themeShade="BF"/>
            </w:rPr>
          </w:pPr>
          <w:proofErr w:type="gramStart"/>
          <w:r>
            <w:rPr>
              <w:b/>
              <w:color w:val="323E4F" w:themeColor="text2" w:themeShade="BF"/>
            </w:rPr>
            <w:t>en</w:t>
          </w:r>
          <w:proofErr w:type="gramEnd"/>
          <w:r>
            <w:rPr>
              <w:b/>
              <w:color w:val="323E4F" w:themeColor="text2" w:themeShade="BF"/>
            </w:rPr>
            <w:t xml:space="preserve"> 2015 </w:t>
          </w:r>
        </w:p>
        <w:p w14:paraId="1CDD5C15" w14:textId="77777777" w:rsidR="00956EF1" w:rsidRPr="00956EF1" w:rsidRDefault="008C1F4F" w:rsidP="00956EF1">
          <w:pPr>
            <w:pStyle w:val="En-tte"/>
            <w:jc w:val="center"/>
            <w:rPr>
              <w:rFonts w:asciiTheme="majorHAnsi" w:hAnsiTheme="majorHAnsi"/>
              <w:b/>
            </w:rPr>
          </w:pPr>
          <w:r>
            <w:rPr>
              <w:b/>
              <w:color w:val="323E4F" w:themeColor="text2" w:themeShade="BF"/>
            </w:rPr>
            <w:t>grâce à la taxe d’apprentissage</w:t>
          </w:r>
        </w:p>
      </w:tc>
    </w:tr>
  </w:tbl>
  <w:p w14:paraId="052F2992" w14:textId="77777777" w:rsidR="00956EF1" w:rsidRDefault="00956EF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96185"/>
    <w:multiLevelType w:val="hybridMultilevel"/>
    <w:tmpl w:val="A080D824"/>
    <w:lvl w:ilvl="0" w:tplc="8ADA318A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  <w:b/>
        <w:color w:val="9E2A2A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6E80"/>
    <w:multiLevelType w:val="hybridMultilevel"/>
    <w:tmpl w:val="278EC3EC"/>
    <w:lvl w:ilvl="0" w:tplc="6BECBB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31947"/>
    <w:multiLevelType w:val="hybridMultilevel"/>
    <w:tmpl w:val="51D6E92A"/>
    <w:lvl w:ilvl="0" w:tplc="EF90FBD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4F"/>
    <w:rsid w:val="000069E6"/>
    <w:rsid w:val="00087741"/>
    <w:rsid w:val="001B323C"/>
    <w:rsid w:val="001D58F2"/>
    <w:rsid w:val="002A60B4"/>
    <w:rsid w:val="002D0DFF"/>
    <w:rsid w:val="00354A0C"/>
    <w:rsid w:val="003F79F8"/>
    <w:rsid w:val="00405E41"/>
    <w:rsid w:val="004D537C"/>
    <w:rsid w:val="004F11D5"/>
    <w:rsid w:val="005B6437"/>
    <w:rsid w:val="005F0AF2"/>
    <w:rsid w:val="00643D66"/>
    <w:rsid w:val="00647B0E"/>
    <w:rsid w:val="00695959"/>
    <w:rsid w:val="006F2EF1"/>
    <w:rsid w:val="007179BE"/>
    <w:rsid w:val="008319C6"/>
    <w:rsid w:val="00850FAE"/>
    <w:rsid w:val="008718E3"/>
    <w:rsid w:val="008C1F4F"/>
    <w:rsid w:val="00900329"/>
    <w:rsid w:val="00951BD4"/>
    <w:rsid w:val="00956EF1"/>
    <w:rsid w:val="00A566AA"/>
    <w:rsid w:val="00A731AD"/>
    <w:rsid w:val="00A90339"/>
    <w:rsid w:val="00AB0456"/>
    <w:rsid w:val="00AC07E0"/>
    <w:rsid w:val="00C74A52"/>
    <w:rsid w:val="00CD7406"/>
    <w:rsid w:val="00D24D34"/>
    <w:rsid w:val="00DA42FB"/>
    <w:rsid w:val="00DC3CF4"/>
    <w:rsid w:val="00DF551A"/>
    <w:rsid w:val="00E533C6"/>
    <w:rsid w:val="00F32194"/>
    <w:rsid w:val="00FF50CF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AFA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4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1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1F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1F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E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EF1"/>
  </w:style>
  <w:style w:type="paragraph" w:styleId="Pieddepage">
    <w:name w:val="footer"/>
    <w:basedOn w:val="Normal"/>
    <w:link w:val="PieddepageCar"/>
    <w:uiPriority w:val="99"/>
    <w:unhideWhenUsed/>
    <w:rsid w:val="00956E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EF1"/>
  </w:style>
  <w:style w:type="table" w:styleId="Grilledutableau">
    <w:name w:val="Table Grid"/>
    <w:basedOn w:val="TableauNormal"/>
    <w:uiPriority w:val="39"/>
    <w:rsid w:val="00956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5B6437"/>
  </w:style>
  <w:style w:type="character" w:customStyle="1" w:styleId="Titre1Car">
    <w:name w:val="Titre 1 Car"/>
    <w:basedOn w:val="Policepardfaut"/>
    <w:link w:val="Titre1"/>
    <w:uiPriority w:val="9"/>
    <w:rsid w:val="008C1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C1F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C1F4F"/>
    <w:rPr>
      <w:rFonts w:asciiTheme="majorHAnsi" w:eastAsiaTheme="majorEastAsia" w:hAnsiTheme="majorHAnsi" w:cstheme="majorBidi"/>
      <w:color w:val="1F4D78" w:themeColor="accent1" w:themeShade="7F"/>
      <w:lang w:eastAsia="fr-FR"/>
    </w:rPr>
  </w:style>
  <w:style w:type="paragraph" w:styleId="Pardeliste">
    <w:name w:val="List Paragraph"/>
    <w:basedOn w:val="Normal"/>
    <w:uiPriority w:val="34"/>
    <w:qFormat/>
    <w:rsid w:val="008C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laire/Library/Group%20Containers/UBF8T346G9.Office/User%20Content.localized/Templates.localized/Note%20-%20institut%20de%20l'engagemen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- institut de l'engagement.dotx</Template>
  <TotalTime>2</TotalTime>
  <Pages>1</Pages>
  <Words>357</Words>
  <Characters>1969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Grâce à la taxe d’apprentissage, </vt:lpstr>
      <vt:lpstr>        Résultats pour la promotion 2014 </vt:lpstr>
      <vt:lpstr>        Une année après leur entrée à l’Institut :</vt:lpstr>
    </vt:vector>
  </TitlesOfParts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Mazancourt</dc:creator>
  <cp:keywords/>
  <dc:description/>
  <cp:lastModifiedBy>Cécile DÉCHELOTTE</cp:lastModifiedBy>
  <cp:revision>3</cp:revision>
  <cp:lastPrinted>2015-12-18T09:26:00Z</cp:lastPrinted>
  <dcterms:created xsi:type="dcterms:W3CDTF">2015-12-18T09:26:00Z</dcterms:created>
  <dcterms:modified xsi:type="dcterms:W3CDTF">2015-12-18T09:54:00Z</dcterms:modified>
</cp:coreProperties>
</file>